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2D" w:rsidRDefault="001F052D" w:rsidP="001F052D">
      <w:pPr>
        <w:jc w:val="center"/>
        <w:rPr>
          <w:rFonts w:ascii="標楷體" w:eastAsia="標楷體" w:hAnsi="標楷體" w:hint="eastAsia"/>
          <w:sz w:val="48"/>
          <w:szCs w:val="48"/>
          <w:lang w:eastAsia="zh-TW"/>
        </w:rPr>
      </w:pPr>
    </w:p>
    <w:p w:rsidR="001F052D" w:rsidRDefault="001F052D" w:rsidP="001F052D">
      <w:pPr>
        <w:jc w:val="center"/>
        <w:rPr>
          <w:rFonts w:ascii="標楷體" w:eastAsia="標楷體" w:hAnsi="標楷體" w:hint="eastAsia"/>
          <w:sz w:val="48"/>
          <w:szCs w:val="48"/>
          <w:lang w:eastAsia="zh-TW"/>
        </w:rPr>
      </w:pPr>
      <w:r w:rsidRPr="00EB5B87">
        <w:rPr>
          <w:rFonts w:ascii="標楷體" w:eastAsia="標楷體" w:hAnsi="標楷體" w:hint="eastAsia"/>
          <w:sz w:val="48"/>
          <w:szCs w:val="48"/>
          <w:lang w:eastAsia="zh-TW"/>
        </w:rPr>
        <w:t>各</w:t>
      </w:r>
      <w:r>
        <w:rPr>
          <w:rFonts w:ascii="標楷體" w:eastAsia="標楷體" w:hAnsi="標楷體" w:hint="eastAsia"/>
          <w:sz w:val="48"/>
          <w:szCs w:val="48"/>
          <w:lang w:eastAsia="zh-TW"/>
        </w:rPr>
        <w:t>式貨櫃內徑尺寸</w:t>
      </w:r>
    </w:p>
    <w:p w:rsidR="001F052D" w:rsidRDefault="001F052D" w:rsidP="001F052D">
      <w:pPr>
        <w:jc w:val="center"/>
        <w:rPr>
          <w:rFonts w:ascii="標楷體" w:eastAsia="標楷體" w:hAnsi="標楷體" w:hint="eastAsia"/>
          <w:sz w:val="48"/>
          <w:szCs w:val="48"/>
          <w:lang w:eastAsia="zh-TW"/>
        </w:rPr>
      </w:pPr>
    </w:p>
    <w:tbl>
      <w:tblPr>
        <w:tblW w:w="10000" w:type="dxa"/>
        <w:tblInd w:w="-812" w:type="dxa"/>
        <w:tblCellMar>
          <w:left w:w="28" w:type="dxa"/>
          <w:right w:w="28" w:type="dxa"/>
        </w:tblCellMar>
        <w:tblLook w:val="0000"/>
      </w:tblPr>
      <w:tblGrid>
        <w:gridCol w:w="2000"/>
        <w:gridCol w:w="2000"/>
        <w:gridCol w:w="2000"/>
        <w:gridCol w:w="2000"/>
        <w:gridCol w:w="2000"/>
      </w:tblGrid>
      <w:tr w:rsidR="001F052D" w:rsidRPr="00FC7B00" w:rsidTr="00FE0340">
        <w:trPr>
          <w:trHeight w:val="345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20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呎貨櫃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一般普通貨櫃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一般</w:t>
            </w:r>
            <w:proofErr w:type="gramStart"/>
            <w:r w:rsidRPr="00FC7B00">
              <w:rPr>
                <w:rFonts w:ascii="Verdana" w:eastAsia="新細明體" w:hAnsi="新細明體" w:cs="新細明體"/>
                <w:lang w:eastAsia="zh-TW"/>
              </w:rPr>
              <w:t>普通高櫃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proofErr w:type="gramStart"/>
            <w:r w:rsidRPr="00FC7B00">
              <w:rPr>
                <w:rFonts w:ascii="Verdana" w:eastAsia="新細明體" w:hAnsi="新細明體" w:cs="新細明體"/>
                <w:lang w:eastAsia="zh-TW"/>
              </w:rPr>
              <w:t>開頂帆布高櫃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開放式平板櫃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長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589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589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589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589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56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563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寬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3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235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3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235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2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222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高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38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238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3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234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2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223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寬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門框尺寸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3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234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高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門框尺寸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28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228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貨櫃荷重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21,000 kg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8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18,000 kg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31,000 kg</w:t>
              </w:r>
            </w:smartTag>
          </w:p>
        </w:tc>
      </w:tr>
    </w:tbl>
    <w:p w:rsidR="001F052D" w:rsidRPr="00344C1A" w:rsidRDefault="001F052D" w:rsidP="001F052D">
      <w:pPr>
        <w:ind w:leftChars="-250" w:left="-600"/>
        <w:rPr>
          <w:rFonts w:ascii="新細明體" w:eastAsia="新細明體" w:hAnsi="新細明體"/>
          <w:lang w:eastAsia="zh-TW"/>
        </w:rPr>
      </w:pPr>
      <w:r w:rsidRPr="00344C1A">
        <w:rPr>
          <w:rFonts w:ascii="新細明體" w:eastAsia="新細明體" w:hAnsi="新細明體"/>
          <w:lang w:eastAsia="zh-TW"/>
        </w:rPr>
        <w:br/>
      </w:r>
    </w:p>
    <w:tbl>
      <w:tblPr>
        <w:tblW w:w="10000" w:type="dxa"/>
        <w:tblInd w:w="-812" w:type="dxa"/>
        <w:tblCellMar>
          <w:left w:w="28" w:type="dxa"/>
          <w:right w:w="28" w:type="dxa"/>
        </w:tblCellMar>
        <w:tblLook w:val="0000"/>
      </w:tblPr>
      <w:tblGrid>
        <w:gridCol w:w="2000"/>
        <w:gridCol w:w="2000"/>
        <w:gridCol w:w="2000"/>
        <w:gridCol w:w="2000"/>
        <w:gridCol w:w="2000"/>
      </w:tblGrid>
      <w:tr w:rsidR="001F052D" w:rsidRPr="00FC7B00" w:rsidTr="00FE0340">
        <w:trPr>
          <w:trHeight w:val="345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40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呎貨櫃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一般普通貨櫃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一般</w:t>
            </w:r>
            <w:proofErr w:type="gramStart"/>
            <w:r w:rsidRPr="00FC7B00">
              <w:rPr>
                <w:rFonts w:ascii="Verdana" w:eastAsia="新細明體" w:hAnsi="新細明體" w:cs="新細明體"/>
                <w:lang w:eastAsia="zh-TW"/>
              </w:rPr>
              <w:t>普通高櫃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proofErr w:type="gramStart"/>
            <w:r w:rsidRPr="00FC7B00">
              <w:rPr>
                <w:rFonts w:ascii="Verdana" w:eastAsia="新細明體" w:hAnsi="新細明體" w:cs="新細明體"/>
                <w:lang w:eastAsia="zh-TW"/>
              </w:rPr>
              <w:t>開頂帆布高櫃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開放式平板櫃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長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20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1,203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20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1,203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20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1,203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17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1,177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寬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5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235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5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235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5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235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22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222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高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內部尺寸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8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238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69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269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3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233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95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195 cm</w:t>
              </w:r>
            </w:smartTag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寬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門框尺寸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4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234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34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234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高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(</w:t>
            </w:r>
            <w:r w:rsidRPr="00FC7B00">
              <w:rPr>
                <w:rFonts w:ascii="Verdana" w:eastAsia="新細明體" w:hAnsi="新細明體" w:cs="新細明體"/>
                <w:lang w:eastAsia="zh-TW"/>
              </w:rPr>
              <w:t>門框尺寸</w:t>
            </w:r>
            <w:r w:rsidRPr="00FC7B00">
              <w:rPr>
                <w:rFonts w:ascii="Verdana" w:eastAsia="新細明體" w:hAnsi="Verdana" w:cs="新細明體"/>
                <w:lang w:eastAsia="zh-TW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28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228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58"/>
                <w:attr w:name="UnitName" w:val="cm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258 cm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CFF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Verdana" w:cs="新細明體"/>
                <w:lang w:eastAsia="zh-TW"/>
              </w:rPr>
              <w:t>-</w:t>
            </w:r>
          </w:p>
        </w:tc>
      </w:tr>
      <w:tr w:rsidR="001F052D" w:rsidRPr="00FC7B00" w:rsidTr="00FE0340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r w:rsidRPr="00FC7B00">
              <w:rPr>
                <w:rFonts w:ascii="Verdana" w:eastAsia="新細明體" w:hAnsi="新細明體" w:cs="新細明體"/>
                <w:lang w:eastAsia="zh-TW"/>
              </w:rPr>
              <w:t>貨櫃荷重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6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26,000 kg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6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26,000 kg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6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26,000 kg</w:t>
              </w:r>
            </w:smartTag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CCFF"/>
            <w:noWrap/>
            <w:vAlign w:val="center"/>
          </w:tcPr>
          <w:p w:rsidR="001F052D" w:rsidRPr="00FC7B00" w:rsidRDefault="001F052D" w:rsidP="00FE0340">
            <w:pPr>
              <w:jc w:val="center"/>
              <w:rPr>
                <w:rFonts w:ascii="Verdana" w:eastAsia="新細明體" w:hAnsi="Verdana" w:cs="新細明體"/>
                <w:lang w:eastAsia="zh-TW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0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C7B00">
                <w:rPr>
                  <w:rFonts w:ascii="Verdana" w:eastAsia="新細明體" w:hAnsi="Verdana" w:cs="新細明體"/>
                  <w:lang w:eastAsia="zh-TW"/>
                </w:rPr>
                <w:t>40,000 kg</w:t>
              </w:r>
            </w:smartTag>
          </w:p>
        </w:tc>
      </w:tr>
    </w:tbl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1F052D" w:rsidRDefault="001F052D" w:rsidP="001F052D">
      <w:pPr>
        <w:rPr>
          <w:rFonts w:eastAsia="新細明體" w:hint="eastAsia"/>
          <w:lang w:eastAsia="zh-TW"/>
        </w:rPr>
      </w:pPr>
    </w:p>
    <w:p w:rsidR="00B13A28" w:rsidRDefault="00B13A28"/>
    <w:sectPr w:rsidR="00B13A28" w:rsidSect="00B13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52D"/>
    <w:rsid w:val="001F052D"/>
    <w:rsid w:val="00B1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D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afs</cp:lastModifiedBy>
  <cp:revision>1</cp:revision>
  <dcterms:created xsi:type="dcterms:W3CDTF">2013-09-11T07:28:00Z</dcterms:created>
  <dcterms:modified xsi:type="dcterms:W3CDTF">2013-09-11T07:35:00Z</dcterms:modified>
</cp:coreProperties>
</file>